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383C91" w:rsidRDefault="00BA5638" w:rsidP="006D2E62">
      <w:pPr>
        <w:rPr>
          <w:sz w:val="20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6D2E62">
        <w:rPr>
          <w:rFonts w:ascii="Calibri Light" w:eastAsia="Arial Unicode MS" w:hAnsi="Calibri Light" w:cs="Calibri Light"/>
          <w:sz w:val="22"/>
          <w:szCs w:val="22"/>
        </w:rPr>
        <w:t xml:space="preserve">Roboty elektryczne i przebudowa w ramach inwestycji </w:t>
      </w:r>
      <w:r w:rsidR="006D2E62">
        <w:rPr>
          <w:rFonts w:ascii="Calibri Light" w:eastAsia="Arial Unicode MS" w:hAnsi="Calibri Light" w:cs="Calibri Light"/>
          <w:sz w:val="22"/>
          <w:szCs w:val="22"/>
        </w:rPr>
        <w:br/>
        <w:t xml:space="preserve">pn. </w:t>
      </w:r>
      <w:r w:rsidR="00383C91" w:rsidRPr="00383C91">
        <w:rPr>
          <w:rFonts w:ascii="Calibri Light" w:hAnsi="Calibri Light" w:cs="Calibri Light"/>
          <w:sz w:val="20"/>
        </w:rPr>
        <w:t>Przebudowa instalacji grzewczej, wodnej i kanalizacyjnej wraz z przebudową pokoi mieszkalnych oraz innych pomieszczeń w budynku internatu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D2E62">
        <w:rPr>
          <w:rFonts w:ascii="Calibri Light" w:eastAsia="Arial Unicode MS" w:hAnsi="Calibri Light" w:cs="Calibri Light"/>
          <w:sz w:val="22"/>
          <w:szCs w:val="22"/>
        </w:rPr>
        <w:br/>
      </w:r>
      <w:r w:rsidR="00B45544">
        <w:rPr>
          <w:rFonts w:ascii="Calibri Light" w:eastAsia="Arial Unicode MS" w:hAnsi="Calibri Light" w:cs="Calibri Light"/>
          <w:sz w:val="22"/>
          <w:szCs w:val="22"/>
        </w:rPr>
        <w:t>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383C91" w:rsidRDefault="003B3D8A" w:rsidP="00383C91">
      <w:pPr>
        <w:rPr>
          <w:sz w:val="20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</w:t>
      </w:r>
      <w:r w:rsidR="00DF59B2" w:rsidRPr="00383C91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83C91" w:rsidRPr="006D2E6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6D2E62" w:rsidRPr="006D2E6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Roboty elektryczne i przebudowa w ramach inwestycji pn.</w:t>
      </w:r>
      <w:r w:rsidR="006D2E6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3C91" w:rsidRPr="00383C91">
        <w:rPr>
          <w:rFonts w:ascii="Calibri Light" w:hAnsi="Calibri Light" w:cs="Calibri Light"/>
          <w:b/>
          <w:sz w:val="20"/>
        </w:rPr>
        <w:t>Przebudowa instalacji grzewczej, wodnej i kanalizacyjnej wraz z przebudową pokoi mieszkalnych oraz innych pomieszczeń w budynku internatu</w:t>
      </w:r>
      <w:r w:rsidR="00383C91">
        <w:rPr>
          <w:rFonts w:ascii="Calibri Light" w:hAnsi="Calibri Light" w:cs="Calibri Light"/>
          <w:b/>
          <w:sz w:val="20"/>
        </w:rPr>
        <w:t>”:</w:t>
      </w:r>
    </w:p>
    <w:p w:rsidR="00E73F42" w:rsidRPr="00391384" w:rsidRDefault="00D46486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na gruncie niniejszej Umowy rozumie się wykonanie przedmiotu Umowy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00F5">
        <w:rPr>
          <w:rFonts w:ascii="Calibri Light" w:eastAsia="Arial Unicode MS" w:hAnsi="Calibri Light" w:cs="Calibri Light"/>
          <w:sz w:val="22"/>
          <w:szCs w:val="22"/>
        </w:rPr>
        <w:t>40</w:t>
      </w:r>
      <w:r w:rsidR="00F10602" w:rsidRPr="00FC7C55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kalendarzowych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</w:t>
      </w:r>
      <w:r w:rsidR="00383C91">
        <w:rPr>
          <w:rFonts w:ascii="Calibri Light" w:eastAsia="Arial Unicode MS" w:hAnsi="Calibri Light" w:cs="Calibri Light"/>
          <w:sz w:val="22"/>
          <w:szCs w:val="22"/>
        </w:rPr>
        <w:t>…..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 xml:space="preserve">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>Kierownik Budowy</w:t>
      </w:r>
      <w:r w:rsidR="006D2E62">
        <w:rPr>
          <w:rFonts w:ascii="Calibri Light" w:eastAsia="Arial Unicode MS" w:hAnsi="Calibri Light" w:cs="Calibri Light"/>
          <w:sz w:val="22"/>
          <w:szCs w:val="22"/>
        </w:rPr>
        <w:t>/Kierownik robót elektrycznych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uprawnienia budowlanie</w:t>
      </w:r>
      <w:r w:rsidR="006D2E62">
        <w:rPr>
          <w:rFonts w:ascii="Calibri Light" w:eastAsia="Arial Unicode MS" w:hAnsi="Calibri Light" w:cs="Calibri Light"/>
          <w:sz w:val="22"/>
          <w:szCs w:val="22"/>
        </w:rPr>
        <w:t xml:space="preserve"> w specjalności instalacyjnej w zakresie sieci, instalacji </w:t>
      </w:r>
      <w:r w:rsidR="006D2E62">
        <w:rPr>
          <w:rFonts w:ascii="Calibri Light" w:eastAsia="Arial Unicode MS" w:hAnsi="Calibri Light" w:cs="Calibri Light"/>
          <w:sz w:val="22"/>
          <w:szCs w:val="22"/>
        </w:rPr>
        <w:br/>
        <w:t>i urządzeń elektrycznych i energetycznych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</w:t>
      </w:r>
      <w:r w:rsidR="006D2E62">
        <w:rPr>
          <w:rFonts w:ascii="Calibri Light" w:eastAsia="Arial Unicode MS" w:hAnsi="Calibri Light" w:cs="Calibri Light"/>
          <w:sz w:val="22"/>
          <w:szCs w:val="22"/>
        </w:rPr>
        <w:br/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w zakresie fakturowania częściowego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lastRenderedPageBreak/>
        <w:t>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w układzie uzgodnionym z Inspektorem nadzoru inwestorskiego. Harmonogram powinien być 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przedstawiając projekt umowy do akceptacji Zamawiającego zobowiązany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świadczenia objętego umową o podwykonawstwo, które nie może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 w:rsidR="006D2E62">
        <w:rPr>
          <w:rFonts w:ascii="Calibri Light" w:eastAsia="Arial Unicode MS" w:hAnsi="Calibri Light" w:cs="Calibri Light"/>
          <w:color w:val="auto"/>
        </w:rPr>
        <w:t xml:space="preserve"> zapłat na sumę większą niż 5</w:t>
      </w:r>
      <w:r>
        <w:rPr>
          <w:rFonts w:ascii="Calibri Light" w:eastAsia="Arial Unicode MS" w:hAnsi="Calibri Light" w:cs="Calibri Light"/>
          <w:color w:val="auto"/>
        </w:rPr>
        <w:t xml:space="preserve">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placu budowy po zakończeniu prac budowlanych i montażowych w danym dniu –</w:t>
      </w:r>
      <w:r w:rsidR="006D2E6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6D2E62">
        <w:rPr>
          <w:rFonts w:ascii="Calibri Light" w:eastAsia="Arial Unicode MS" w:hAnsi="Calibri Light" w:cs="Calibri Light"/>
          <w:sz w:val="22"/>
          <w:szCs w:val="22"/>
        </w:rPr>
        <w:t>……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lastRenderedPageBreak/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lastRenderedPageBreak/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lastRenderedPageBreak/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5550AA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jego upoważnienia państwowego wojewódzkiego inspektora sanitarnego, </w:t>
      </w:r>
      <w:r w:rsidR="005550AA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</w:t>
      </w:r>
      <w:r w:rsidR="005550AA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polisę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lastRenderedPageBreak/>
        <w:t>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F7419E" w:rsidRPr="00E73F42" w:rsidRDefault="00F7419E" w:rsidP="00383C91">
      <w:pPr>
        <w:spacing w:after="120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C4" w:rsidRDefault="000931C4">
      <w:r>
        <w:separator/>
      </w:r>
    </w:p>
  </w:endnote>
  <w:endnote w:type="continuationSeparator" w:id="0">
    <w:p w:rsidR="000931C4" w:rsidRDefault="000931C4">
      <w:r>
        <w:continuationSeparator/>
      </w:r>
    </w:p>
  </w:endnote>
  <w:endnote w:type="continuationNotice" w:id="1">
    <w:p w:rsidR="000931C4" w:rsidRDefault="000931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752EEE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752EEE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D00F5">
      <w:rPr>
        <w:rFonts w:ascii="Arial" w:hAnsi="Arial" w:cs="Arial"/>
        <w:b/>
        <w:bCs/>
        <w:noProof/>
        <w:sz w:val="16"/>
        <w:szCs w:val="16"/>
      </w:rPr>
      <w:t>2</w:t>
    </w:r>
    <w:r w:rsidR="00752EEE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752EEE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752EEE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D00F5">
      <w:rPr>
        <w:rFonts w:ascii="Arial" w:hAnsi="Arial" w:cs="Arial"/>
        <w:b/>
        <w:bCs/>
        <w:noProof/>
        <w:sz w:val="16"/>
        <w:szCs w:val="16"/>
      </w:rPr>
      <w:t>22</w:t>
    </w:r>
    <w:r w:rsidR="00752EEE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C4" w:rsidRDefault="000931C4">
      <w:r>
        <w:separator/>
      </w:r>
    </w:p>
  </w:footnote>
  <w:footnote w:type="continuationSeparator" w:id="0">
    <w:p w:rsidR="000931C4" w:rsidRDefault="000931C4">
      <w:r>
        <w:continuationSeparator/>
      </w:r>
    </w:p>
  </w:footnote>
  <w:footnote w:type="continuationNotice" w:id="1">
    <w:p w:rsidR="000931C4" w:rsidRDefault="000931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6D2E62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7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31C4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0F5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3C91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362E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0AA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2E62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2EEE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2E1A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0B13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4158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10E6-D3D3-4C02-978E-998162BD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9052</Words>
  <Characters>54312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63238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3</cp:revision>
  <cp:lastPrinted>2021-04-19T05:14:00Z</cp:lastPrinted>
  <dcterms:created xsi:type="dcterms:W3CDTF">2022-06-06T09:03:00Z</dcterms:created>
  <dcterms:modified xsi:type="dcterms:W3CDTF">2022-06-20T09:41:00Z</dcterms:modified>
</cp:coreProperties>
</file>